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V 299</w:t>
      </w:r>
    </w:p>
    <w:p>
      <w:r>
        <w:t>Bundesgericht (BGE), 2006-03-06, DE</w:t>
      </w:r>
    </w:p>
    <w:p>
      <w:r>
        <w:rPr>
          <w:b/>
        </w:rPr>
        <w:t xml:space="preserve">Quelle: </w:t>
      </w:r>
      <w:r>
        <w:t>https://mcp.opencaselaw.ch/entscheid/bge_132 V 299</w:t>
      </w:r>
    </w:p>
    <w:p>
      <w:r>
        <w:t>FR: ATF 132 V 299</w:t>
      </w:r>
    </w:p>
    <w:p>
      <w:r>
        <w:t>IT: DTF 132 V 299</w:t>
      </w:r>
    </w:p>
    <w:p>
      <w:pPr>
        <w:pStyle w:val="Heading2"/>
      </w:pPr>
      <w:r>
        <w:t>Regeste</w:t>
      </w:r>
    </w:p>
    <w:p>
      <w:r>
        <w:t>Regeste Art. 47 Abs. 1, Art. 53 KVG; Art. 98 lit. a, Art. 129 Abs. 1 lit. b OG; Art. 6 Ziff. 1 EMRK: Verwaltungsgerichtsbeschwerde gegen Beschwerdeentscheid des Bundesrates betreffend Festsetzung des Spitaltarifs. Auf die gegen einen Beschwerdeentscheid des Bundesrates betreffend Festsetzung des Spitaltarifs durch die Kantonsregierung gerichtete Verwaltungsgerichtsbeschwerde ist nicht einzutreten. Keine Verletzung des Anspruchs auf Zugang zu einem Gericht gemäss Art. 6 Ziff. 1 EMRK, sofern - was offen gelassen wurde - dessen Anwendbarkeit überhaupt zu bejahen wäre. (Erw. 4)</w:t>
      </w:r>
    </w:p>
    <w:p>
      <w:pPr>
        <w:pStyle w:val="Heading2"/>
      </w:pPr>
      <w:r>
        <w:t>Volltext</w:t>
      </w:r>
    </w:p>
    <w:p>
      <w:r>
        <w:t>Urteilskopf 132 V 299 33. Auszug aus dem Urteil i.S. Klinik X. gegen santésuisse St. Gallen-Thurgau-Glarus und Schweizerischer Bundesrat K 21/03 vom 6. März 2006 Regeste Art. 47 Abs. 1, Art. 53 KVG ; Art. 98 lit. a, Art. 129 Abs. 1 lit. b OG ; Art. 6 Ziff. 1 EMRK : Verwaltungsgerichtsbeschwerde gegen Beschwerdeentscheid des Bundesrates betreffend Festsetzung des Spitaltarifs. Auf die gegen einen Beschwerdeentscheid des Bundesrates betreffend Festsetzung des Spitaltarifs durch die Kantonsregierung gerichtete Verwaltungsgerichtsbeschwerde ist nicht einzutreten. Keine Verletzung des Anspruchs auf Zugang zu einem Gericht gemäss Art. 6 Ziff. 1 EMRK , sofern - was offen gelassen wurde - dessen Anwendbarkeit überhaupt zu bejahen wäre. (Erw. 4) Erwägungen ab Seite 300 BGE 132 V 299 S. 300 Aus den Erwägungen: 4.3 4.3.1 Ist der sachliche Geltungsbereich von Art. 6 Ziff. 1 EMRK betroffen, besteht Anspruch auf Zugang zu einem unabhängigen und unparteiischen, auf Gesetz beruhenden Gericht. Die Vertragsstaaten haben die wirksame Ausübung dieses Rechts zu gewährleisten, verfügen jedoch in der Wahl der Mittel hierzu, namentlich in der konkreten Ausgestaltung der innerstaatlichen Gerichtsbarkeit, über einen erheblichen Ermessensspielraum (Urteile des Europäischen Gerichtshofs für Menschenrechte [EGMR] i.S. Airey gegen Irland vom 9. Oktober 1979, Série A vol. 32 Ziff. 26; A. gegen Grossbritannien vom 17. Dezember 2002, Reports 2002-X S. 146 Ziff. 97; Teltronic-CATV gegen Polen vom 10. Januar 2006 [Application No. 48140/99] Ziff. 46; Jedamski gegen Polen vom 26. Juli 2005 [Application No. 73547/01] Ziff. 58). In institutioneller Hinsicht verlangt Art. 6 Ziff. 1 EMRK , dass im individuell-konkreten zivil- oder strafrechtlichen Streitverfahren der Rechtsweg an ein den Anforderungen der Konventionsbestimmung genügendes Gericht offen steht; hingegen besteht grundsätzlich kein konventionsrechtlicher Anspruch auf einen Instanzenzug (vgl. auch BGE 124 I 263 Erw. 5b/aa mit Hinweisen) oder - sofern ein solcher besteht - auf Gerichtsbarkeit in allen Instanzen, insbesondere auch BGE 132 V 299 S. 301 nicht auf Zugang zu einem obersten Gericht (vgl. MIEHSLER/VOGLER, Rz 272 f. zu Art. 6, in: KARL WOLFRAM ET AL. [Hrsg.], Internationaler Kommentar zur Europäischen Menschenrechtskonvention, Köln/Berlin/München 2004, mit Hinweisen auf die Rechtsprechung). Art. 6 Ziff. 1 EMRK räumt sodann keinen individuellen Anspruch auf direkte Anfechtung generell-abstrakter Regelungen ein: Die Bestimmung findet zwar nach der Praxis der Konventionsorgane mitunter auch auf (verfassungsgerichtliche) Verfahren der abstrakten Normenkontrolle Anwendung, dies jedoch nur, soweit das nationale Recht die Möglichkeit der direkten Gesetzesanfechtung vorsieht (Urteil des EGMR i.S. Voggenreiter gegen Deutschland vom 8. Januar 2004, Reports 2004-I [Auszüge] S. 11 f. Ziff. 31 und 33, mit Hinweisen). Art. 6 Ziff. 1 EMRK selbst verlangt mithin grundsätzlich keine abstrakte Normenkontrolle. Entsprechendes gilt mit Bezug auf Art. 13 EMRK , wonach gegen Verletzungen der in der Konvention festgelegten Rechte und Freiheiten eine wirksame Beschwerde möglich sein muss (Urteil E. et al. der I. öffentlichrechtlichen Abteilung des Bundesgerichts vom 14. Februar 2000 [1P.560/ 1999] Erw. 3b; aus der Rechtsprechung des EGMR: James u.a. gegen Grossbritannien vom 21. Februar 1986, Série A vol. 98 Ziff. 85; Hatton u.a. gegen Grossbritannien vom 8. Juli 2003, Reports 2003-VIII S. 230 Ziff. 138; Costello-R oberts gegen Grossbritannien vom 25. März 1993, Série A vol. 247-C Ziff. 40: zum Ganzen s. auch RAINER J. SCHWEIZER, Die schweizerischen Gerichte und das europäische Recht, in: ZSR 1993, 2. Halbbd., S. 688 f.; RUTH HERZOG, Art. 6 EMRK und kantonale Verwaltungsrechtspflege, Bern 1995, S. 139). 4.3.2 Im hier zu beurteilenden Fall richtet sich die Verwaltungsgerichtsbeschwerde in der Hauptsache gegen die bundesrätliche Festsetzung einzelner Tarifpositionen im stationären Bereich für den Zeitraum 1997-2000; es betrifft dies die Herzchirurgie inkl. Plantate (Fr. 16'660.- pro Fall sowie Fr. 914.- für Pflege und Hotellerie pro Tag), sodann - im Bereich Kardiologie - die Fullrisk-Fallpauschale für Koronardilatationen inkl. allfällige vorangehende Koronarangiographie (Fr. 5762.-) mit der Möglichkeit der zusätzlichen Verrechnung von Implantaten, Stents und Spezialkathetern je einzeln zum Einkaufspreis (+ 0.34 %) und ferner die Fullrisk-Fallpauschale für Koronarangiographien ohne Dilatation (Fr. 3703.-). Gegen Verfügungen in konkreter Anwendung dieser Tarifklauseln steht der Beschwerdeführerin unstrittig der BGE 132 V 299 S. 302 Rechtsweg an das kantonale Schiedsgericht ( Art. 89 Abs. 1 KVG ) und anschliessend an das Eidgenössische Versicherungsgericht offen. Dieses ist unter dem Blickwinkel von Art. 6 Ziff. 1 EMRK verpflichtet, (eine) konkret angefochtene Tarifposition(en) vorfrageweise - im Sinne einer inzidenten Normenkontrolle - auf ihre Rechtmässigkeit hin zu überprüfen. Denn wie das Eidgenössische Versicherungsgericht in seiner neuesten Rechtsprechung präzisiert hat, erlaubt es Art. 6 Ziff. 1 EMRK einem Vetragsstaat nicht, die Gesetzmässigkeit einer Tarifklausel der obligatorischen Krankenpflegeversicherung jeglicher gerichtlichen Kontrolle zu entziehen, wenn eine versicherte Person von einer im Einzelfall in Anwendung dieser Klausel ergangenen Verfügung betroffen ist. Dabei gebietet die geforderte effektive gerichtliche Kontrolle, dass das Gericht angebliche Tatsachen- und Rechtsirrtümer ebenso wie Fragen der Verhältnismässigkeit überprüfen kann und zudem ein Entscheid nicht in einem solchen Umfang in das unkontrollierbare Ermessen der Verwaltung gestellt wird, dass der Zweck von Art. 6 Ziff. 1 EMRK vereitelt würde; hingegen verlangt die Rechtsprechung der Konventionsorgane nicht, dass das Gericht volle Überprüfungsbefugnisse hinsichtlich des Ermessens hat ( BGE 131 V 76 f. Erw. 5.4 mit Hinweis; bestätigt im Urteil S. vom 8. Juli 2005 [K 61/04] Erw. 4.2 und 4.3 [vgl. ZBJV 2005 S. 903]). Dies gilt namentlich für Tariffestsetzungen, die unter Umständen komplexe und allenfalls in der Zielrichtung widersprüchliche Aspekte auf einen Nenner zu bringen haben (vgl. BGE 126 V 349 Erw. 4a mit Hinweisen). 4.3.3 Steht die Möglichkeit einer vorfrageweisen richterlichen Überprüfung der von der Beschwerdeführerin bemängelten Tarifpositionen im konkreten Anwendungsfall offen, ist den Anforderungen des Art. 6 Ziff. 1 EMRK nach dem unter Erw. 4.3.1 hievor Gesagten Genüge getan und eine gerichtliche Anfechtbarkeit des Tarifs als solchem konventionsrechtlich nicht verlangt.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